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1343">
      <w:pPr>
        <w:jc w:val="right"/>
        <w:rPr>
          <w:color w:val="000000"/>
        </w:rPr>
      </w:pPr>
      <w:bookmarkStart w:id="0" w:name="_GoBack"/>
      <w:bookmarkEnd w:id="0"/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ГОСТ 11648-75 </w:t>
      </w:r>
    </w:p>
    <w:p w:rsidR="00000000" w:rsidRDefault="00A51343">
      <w:pPr>
        <w:rPr>
          <w:color w:val="000000"/>
        </w:rPr>
      </w:pP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Группа Г36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>МЕЖГОСУДАРСТВЕННЫЙ СТАНДАРТ</w:t>
      </w:r>
    </w:p>
    <w:p w:rsidR="00000000" w:rsidRDefault="00A51343">
      <w:pPr>
        <w:pStyle w:val="Heading"/>
        <w:jc w:val="center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>ШАЙБЫ УПОРНЫЕ БЫСТРОСЪЕМНЫЕ</w:t>
      </w:r>
    </w:p>
    <w:p w:rsidR="00000000" w:rsidRDefault="00A51343">
      <w:pPr>
        <w:pStyle w:val="Heading"/>
        <w:jc w:val="center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>Технические условия</w:t>
      </w:r>
    </w:p>
    <w:p w:rsidR="00000000" w:rsidRDefault="00A51343">
      <w:pPr>
        <w:pStyle w:val="Heading"/>
        <w:jc w:val="center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Quick removable thrust washers. Specifications </w:t>
      </w:r>
    </w:p>
    <w:p w:rsidR="00000000" w:rsidRDefault="00A51343">
      <w:pPr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МКС 21.060.30 </w:t>
      </w:r>
    </w:p>
    <w:p w:rsidR="00000000" w:rsidRDefault="00A51343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Дата введения 1977-01-01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Постановлением Государственного комит</w:t>
      </w:r>
      <w:r>
        <w:rPr>
          <w:color w:val="000000"/>
        </w:rPr>
        <w:t>ета стандартов Совета Министров СССР от 2 декабря 1975 г. N 3750 дата введения установлена 01.01.77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Ограничение срока действия снято Постановлением Госстандарта СССР от 28.06.91 N 1178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ВЗАМЕН ГОСТ 11648-65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ИЗДАНИЕ с Изменением N 1, утвержденным в декаб</w:t>
      </w:r>
      <w:r>
        <w:rPr>
          <w:color w:val="000000"/>
        </w:rPr>
        <w:t>ре 1981 г. (ИУС N 3-1982 г.)</w:t>
      </w:r>
    </w:p>
    <w:p w:rsidR="00000000" w:rsidRDefault="00A51343">
      <w:pPr>
        <w:ind w:firstLine="67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Настоящий стандарт распространяется на упорные быстросъемные шайбы для валов диаметром от 2 до 20 мм.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1. КОНСТРУКЦИЯ И РАЗМЕРЫ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1.1. Конструкция и размеры шайб должны соответствовать указанным на чертеже и в табл.1.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737CDC">
      <w:pPr>
        <w:ind w:firstLine="22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3377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Таблица 1 </w:t>
      </w:r>
    </w:p>
    <w:p w:rsidR="00000000" w:rsidRDefault="00A51343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A5134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"/>
        <w:gridCol w:w="960"/>
        <w:gridCol w:w="720"/>
        <w:gridCol w:w="720"/>
        <w:gridCol w:w="960"/>
        <w:gridCol w:w="570"/>
        <w:gridCol w:w="750"/>
        <w:gridCol w:w="660"/>
        <w:gridCol w:w="810"/>
        <w:gridCol w:w="750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H12 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6192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43">
              <w:rPr>
                <w:color w:val="000000"/>
              </w:rPr>
              <w:t xml:space="preserve"> </w:t>
            </w:r>
          </w:p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h12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287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52400" cy="161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43">
              <w:rPr>
                <w:color w:val="000000"/>
              </w:rPr>
              <w:t xml:space="preserve"> </w:t>
            </w:r>
          </w:p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H14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3825" cy="180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" cy="1238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428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вала </w:t>
            </w:r>
            <w:r w:rsidR="00737CDC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</w:t>
            </w:r>
            <w:r>
              <w:rPr>
                <w:color w:val="000000"/>
              </w:rPr>
              <w:t>. откл.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+0,14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2 до 2,5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2,5 до 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4 до 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6 до 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±0,07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8 до 10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±0,08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10 до 12,5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12,5 до 16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±0,11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±0,12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Св. 16 до 20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</w:tbl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Пример </w:t>
      </w:r>
      <w:r>
        <w:rPr>
          <w:color w:val="000000"/>
        </w:rPr>
        <w:t xml:space="preserve">условного обозначения шайбы внутренним диаметром </w:t>
      </w:r>
      <w:r w:rsidR="00737CDC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5 мм из бронзы БрКМц3-1 с покрытием 07 толщиной 6 мкм: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jc w:val="center"/>
        <w:rPr>
          <w:color w:val="000000"/>
        </w:rPr>
      </w:pPr>
      <w:r>
        <w:rPr>
          <w:i/>
          <w:iCs/>
          <w:color w:val="000000"/>
        </w:rPr>
        <w:t>Шайба 5.БрКМц3-1.07.6 ГОСТ 11648-75</w:t>
      </w:r>
      <w:r>
        <w:rPr>
          <w:color w:val="000000"/>
        </w:rPr>
        <w:t xml:space="preserve">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2. ТЕХНИЧЕСКИЕ ТРЕБОВАНИЯ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2.1. Шайбы до</w:t>
      </w:r>
      <w:r>
        <w:rPr>
          <w:color w:val="000000"/>
        </w:rPr>
        <w:t>лжны быть изготовлены из углеродистой качественной конструкционной стали марки 65Г по ГОСТ 14959-79 или из безоловянной бронзы марки БрКМц3-1 по ГОСТ 18175-78.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Допускается по соглашению изготовителя с потребителем применять материалы других марок, обеспеч</w:t>
      </w:r>
      <w:r>
        <w:rPr>
          <w:color w:val="000000"/>
        </w:rPr>
        <w:t>ивающие упругие свойства шайб.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2.2. По заказу потребителя шайбы следует изготовлять с покрытием. Виды и условные обозначения - по ГОСТ 1759.0-87, ГОСТ 1759.1-82, ГОСТ 1759.2-82, ГОСТ 1759.3-83, ГОСТ 1759.4-87*, ГОСТ 1759.5-87**.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_______________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* На терри</w:t>
      </w:r>
      <w:r>
        <w:rPr>
          <w:color w:val="000000"/>
        </w:rPr>
        <w:t xml:space="preserve">тории Российской Федерации с 01.01.2008 действует ГОСТ Р 52627-2006 ; 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** На территории Российской Федерации с 01.01.2008 действует ГОСТ Р 52628-2006. - Примечание изготовителя базы данных.</w:t>
      </w:r>
    </w:p>
    <w:p w:rsidR="00000000" w:rsidRDefault="00A51343">
      <w:pPr>
        <w:ind w:firstLine="450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Выбор покрытия - по ГОСТ 9.303-84. Толщину покрытия необходимо на</w:t>
      </w:r>
      <w:r>
        <w:rPr>
          <w:color w:val="000000"/>
        </w:rPr>
        <w:t>значать в соответствии с ГОСТ 9.306-85 по соглашению изготовителя с потребителем.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2.3. На поверхности шайб не должно быть заусенцев, рисок, трещин, плен, рванин, следов окалины, расслоений, раковин и других дефектов. Дефекты поверхности, допускаемые норма</w:t>
      </w:r>
      <w:r>
        <w:rPr>
          <w:color w:val="000000"/>
        </w:rPr>
        <w:t>тивно-технической документацией на материал, из которого изготовляют шайбы, не являются браковочными признаками для шайб.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Шайбы не должны иметь острых кромок. Смятие кромок шайбы не является браковочным признаком.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2.4. Допуск плоскостности шайбы - не бол</w:t>
      </w:r>
      <w:r>
        <w:rPr>
          <w:color w:val="000000"/>
        </w:rPr>
        <w:t>ее 0,1 мм.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2.5. Допуск соосности поверхности диаметра относительно оси поверхности диаметра для </w:t>
      </w:r>
      <w:r w:rsidR="00737CDC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5 мм - не </w:t>
      </w:r>
      <w:r>
        <w:rPr>
          <w:color w:val="000000"/>
        </w:rPr>
        <w:lastRenderedPageBreak/>
        <w:t xml:space="preserve">более 0,04 мм, для </w:t>
      </w:r>
      <w:r w:rsidR="00737CDC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5 мм - не более 0,05 мм.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2.6. Допуск симметричности паза </w:t>
      </w:r>
      <w:r w:rsidR="00737CDC">
        <w:rPr>
          <w:noProof/>
          <w:color w:val="000000"/>
          <w:position w:val="-4"/>
        </w:rPr>
        <w:drawing>
          <wp:inline distT="0" distB="0" distL="0" distR="0">
            <wp:extent cx="1524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относительно оси внутреннего диаметра для </w:t>
      </w:r>
      <w:r w:rsidR="00737CDC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7 мм - не более 0,05 мм; для </w:t>
      </w:r>
      <w:r w:rsidR="00737CDC">
        <w:rPr>
          <w:noProof/>
          <w:color w:val="000000"/>
          <w:position w:val="-6"/>
        </w:rPr>
        <w:drawing>
          <wp:inline distT="0" distB="0" distL="0" distR="0">
            <wp:extent cx="266700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7 мм - не более 0,1 мм; несимметричность выступа Б - не более 1°.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2.4-2.6. (Из</w:t>
      </w:r>
      <w:r>
        <w:rPr>
          <w:color w:val="000000"/>
        </w:rPr>
        <w:t>мененная редакция, Изм. N 1).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2.7. Стальные шайбы должны иметь твердость HV 390</w:t>
      </w:r>
      <w:r>
        <w:rPr>
          <w:rFonts w:ascii="Courier New" w:hAnsi="Courier New" w:cs="Courier New"/>
          <w:color w:val="000000"/>
        </w:rPr>
        <w:t>+</w:t>
      </w:r>
      <w:r>
        <w:rPr>
          <w:color w:val="000000"/>
        </w:rPr>
        <w:t>502, бронзовые - не менее HV 186.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2.8. Водородная и кислотная хрупкость шайб, возникшая в процессе покрытия, должна быть снята.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2.9. (Исключен, Изм. N 1).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2.10. Размеры кан</w:t>
      </w:r>
      <w:r>
        <w:rPr>
          <w:color w:val="000000"/>
        </w:rPr>
        <w:t xml:space="preserve">авок под шайбы и допускаемые осевые нагрузки на шайбы даны вприложении 1.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(Измененная редакция, Изм. N 1).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2.11. Теоретическая масса шайб дана в приложении 2.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3. ПРАВИЛА ПРИЕМКИ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3.1. Правила приемки шайб - по ГОСТ 17769-83 для изделий повышенной и </w:t>
      </w:r>
      <w:r>
        <w:rPr>
          <w:color w:val="000000"/>
        </w:rPr>
        <w:t>нормальной точности. Размер партии шайб не должен превышать 25000 шт.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4. МЕТОДЫ КОНТРОЛЯ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4.1. Внешний вид шайб (п.2.3) следует проверять визуально.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4.2. Неплоскостность шайб (п.2.4) следует проверять универсальными методами и средствами.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4.3. Контро</w:t>
      </w:r>
      <w:r>
        <w:rPr>
          <w:color w:val="000000"/>
        </w:rPr>
        <w:t>ль покрытий (п.2.2) - по ГОСТ 9.302-88.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4.4. Определение твердости (п.2.7) - по ГОСТ 2999-75.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4.5. Упругость упорных шайб следует проверять трехкратным надеванием их на оправку диаметром, равным диаметру канавки </w:t>
      </w:r>
      <w:r w:rsidR="00737CDC">
        <w:rPr>
          <w:noProof/>
          <w:color w:val="000000"/>
          <w:position w:val="-10"/>
        </w:rPr>
        <w:drawing>
          <wp:inline distT="0" distB="0" distL="0" distR="0">
            <wp:extent cx="1809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После</w:t>
      </w:r>
      <w:r>
        <w:rPr>
          <w:color w:val="000000"/>
        </w:rPr>
        <w:t xml:space="preserve"> этого шайбы не должны иметь остаточных деформаций.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5. УПАКОВКА И МАРКИРОВКА 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5.1. Упаковка шайб и маркировка тары - по ГОСТ 18160-72.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ПРИЛОЖЕНИЕ 1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Справочное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>Рекомендуемые размеры канавок и допускаемые осевые нагрузки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для упорных быстросъе</w:t>
      </w:r>
      <w:r>
        <w:rPr>
          <w:color w:val="000000"/>
        </w:rPr>
        <w:t xml:space="preserve">мных шайб </w:t>
      </w:r>
    </w:p>
    <w:p w:rsidR="00000000" w:rsidRDefault="00A51343">
      <w:pPr>
        <w:jc w:val="center"/>
        <w:rPr>
          <w:color w:val="000000"/>
        </w:rPr>
      </w:pPr>
    </w:p>
    <w:p w:rsidR="00000000" w:rsidRDefault="00A51343">
      <w:pPr>
        <w:jc w:val="center"/>
        <w:rPr>
          <w:color w:val="000000"/>
        </w:rPr>
      </w:pPr>
    </w:p>
    <w:p w:rsidR="00000000" w:rsidRDefault="00737CDC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438400" cy="1695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51343">
      <w:pPr>
        <w:jc w:val="right"/>
        <w:rPr>
          <w:color w:val="000000"/>
        </w:rPr>
      </w:pP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Таблица 1 </w:t>
      </w:r>
    </w:p>
    <w:p w:rsidR="00000000" w:rsidRDefault="00A51343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center"/>
        <w:rPr>
          <w:color w:val="000000"/>
        </w:rPr>
      </w:pPr>
      <w:r>
        <w:rPr>
          <w:color w:val="000000"/>
        </w:rPr>
        <w:t>мм</w:t>
      </w:r>
    </w:p>
    <w:p w:rsidR="00000000" w:rsidRDefault="00A51343">
      <w:pPr>
        <w:jc w:val="center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35"/>
        <w:gridCol w:w="1950"/>
        <w:gridCol w:w="1605"/>
        <w:gridCol w:w="159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180975" cy="2190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343">
              <w:rPr>
                <w:color w:val="000000"/>
              </w:rPr>
              <w:t xml:space="preserve"> </w:t>
            </w:r>
          </w:p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 11 </w:t>
            </w:r>
          </w:p>
        </w:tc>
        <w:tc>
          <w:tcPr>
            <w:tcW w:w="3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2400" cy="2190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737CD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Номин.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Пред. откл.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2 до 2,5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2,5 до 4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Св. 4 </w:t>
            </w:r>
            <w:r>
              <w:rPr>
                <w:color w:val="000000"/>
              </w:rPr>
              <w:t>до 6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+0,06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6 до 8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8 до 10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+0,10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10 до 12,5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12,5 до 16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Св. 16 до 20</w:t>
            </w:r>
          </w:p>
          <w:p w:rsidR="00000000" w:rsidRDefault="00A51343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</w:tbl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>Таблица 2</w:t>
      </w:r>
    </w:p>
    <w:p w:rsidR="00000000" w:rsidRDefault="00A51343">
      <w:pPr>
        <w:jc w:val="right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95"/>
        <w:gridCol w:w="1560"/>
        <w:gridCol w:w="1560"/>
        <w:gridCol w:w="180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Внутренний диаметр шайбы </w:t>
            </w:r>
            <w:r w:rsidR="00737CDC"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42875" cy="1809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мм </w:t>
            </w:r>
          </w:p>
        </w:tc>
        <w:tc>
          <w:tcPr>
            <w:tcW w:w="70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Допускаемая осевая нагрузка на шайбу, Н (кгс)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стали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бронзы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стали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 бронзы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минимальная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максимальная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(7)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(5)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(10)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(8)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(10)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(6)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 (35)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(25)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(30)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(20)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 (70)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(60)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(45)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 (35)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 (110)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(90)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(60)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 (50)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 (140)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 (100)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 (80)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 (60)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 (240)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 (180)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 (100)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 (80)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 (280)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 (220)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1200 (120)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1000 (100)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4400 (440)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3500 (350)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</w:tbl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Примечание. Минимальные значения нагрузок соответствуют нижним границам интервалов диаметра вала </w:t>
      </w:r>
      <w:r w:rsidR="00737CDC">
        <w:rPr>
          <w:noProof/>
          <w:color w:val="000000"/>
          <w:position w:val="-12"/>
        </w:rPr>
        <w:drawing>
          <wp:inline distT="0" distB="0" distL="0" distR="0">
            <wp:extent cx="1905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минимальные - верхним границам этих интервалов.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 xml:space="preserve">ПРИЛОЖЕНИЕ 2 </w:t>
      </w:r>
    </w:p>
    <w:p w:rsidR="00000000" w:rsidRDefault="00A51343">
      <w:pPr>
        <w:jc w:val="right"/>
        <w:rPr>
          <w:color w:val="000000"/>
        </w:rPr>
      </w:pPr>
      <w:r>
        <w:rPr>
          <w:color w:val="000000"/>
        </w:rPr>
        <w:t>Справо</w:t>
      </w:r>
      <w:r>
        <w:rPr>
          <w:color w:val="000000"/>
        </w:rPr>
        <w:t xml:space="preserve">чное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000000" w:rsidRDefault="00A51343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Масса стальных шайб </w:t>
      </w:r>
    </w:p>
    <w:p w:rsidR="00000000" w:rsidRDefault="00A51343">
      <w:pPr>
        <w:jc w:val="center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410"/>
        <w:gridCol w:w="4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Диаметр вала </w:t>
            </w:r>
            <w:r w:rsidR="00737CDC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Теоретическая масса 1000 шт. шайб, кг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>От  2      до 2,5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0,024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>Св. 2,5   до 4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4       "   6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6       "   8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0,386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8       "   10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0,693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10     "   12,5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12,5  "  16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1,940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left w:w="210" w:type="dxa"/>
            <w:bottom w:w="0" w:type="dxa"/>
            <w:right w:w="210" w:type="dxa"/>
          </w:tblCellMar>
        </w:tblPrEx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rPr>
                <w:color w:val="000000"/>
              </w:rPr>
            </w:pPr>
            <w:r>
              <w:rPr>
                <w:color w:val="000000"/>
              </w:rPr>
              <w:t xml:space="preserve">  "    16     "  20</w:t>
            </w:r>
          </w:p>
          <w:p w:rsidR="00000000" w:rsidRDefault="00A51343">
            <w:pPr>
              <w:rPr>
                <w:color w:val="000000"/>
              </w:rPr>
            </w:pPr>
          </w:p>
        </w:tc>
        <w:tc>
          <w:tcPr>
            <w:tcW w:w="46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A51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4,039</w:t>
            </w:r>
          </w:p>
          <w:p w:rsidR="00000000" w:rsidRDefault="00A51343">
            <w:pPr>
              <w:jc w:val="center"/>
              <w:rPr>
                <w:color w:val="000000"/>
              </w:rPr>
            </w:pPr>
          </w:p>
        </w:tc>
      </w:tr>
    </w:tbl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Для определения массы шайб из бронзы величину массы, указанную в таблице, следует умножить на коэффициент 1,08.</w:t>
      </w: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Электронный текст документа подготовлен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ЗАО "Кодекс" и сверен по: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официальное изда</w:t>
      </w:r>
      <w:r>
        <w:rPr>
          <w:color w:val="000000"/>
        </w:rPr>
        <w:t>ние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Шайбы и контрящие элементы. Технические условия. </w:t>
      </w:r>
    </w:p>
    <w:p w:rsidR="00000000" w:rsidRDefault="00A51343">
      <w:pPr>
        <w:ind w:firstLine="225"/>
        <w:jc w:val="both"/>
        <w:rPr>
          <w:color w:val="000000"/>
        </w:rPr>
      </w:pPr>
      <w:r>
        <w:rPr>
          <w:color w:val="000000"/>
        </w:rPr>
        <w:t>Конструкция и размеры: Сб. стандартов. -</w:t>
      </w:r>
    </w:p>
    <w:p w:rsidR="00A51343" w:rsidRDefault="00A51343">
      <w:pPr>
        <w:ind w:firstLine="225"/>
        <w:jc w:val="both"/>
      </w:pPr>
      <w:r>
        <w:rPr>
          <w:color w:val="000000"/>
        </w:rPr>
        <w:t xml:space="preserve">М.: Стандартинформ, 2006 </w:t>
      </w:r>
    </w:p>
    <w:sectPr w:rsidR="00A513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DC"/>
    <w:rsid w:val="00737CDC"/>
    <w:rsid w:val="00A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2</cp:revision>
  <dcterms:created xsi:type="dcterms:W3CDTF">2019-04-19T06:53:00Z</dcterms:created>
  <dcterms:modified xsi:type="dcterms:W3CDTF">2019-04-19T06:53:00Z</dcterms:modified>
</cp:coreProperties>
</file>